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59BF" w14:textId="77777777" w:rsidR="00732B01" w:rsidRPr="009F6DF8" w:rsidRDefault="009F6DF8">
      <w:pPr>
        <w:pStyle w:val="Title"/>
        <w:rPr>
          <w:rFonts w:cstheme="majorHAnsi"/>
        </w:rPr>
      </w:pPr>
      <w:r w:rsidRPr="009F6DF8">
        <w:rPr>
          <w:rFonts w:cstheme="majorHAnsi"/>
        </w:rPr>
        <w:t>Financial Risk Assessment Summary</w:t>
      </w:r>
    </w:p>
    <w:p w14:paraId="23F59CA0" w14:textId="3CDCA510" w:rsidR="00732B01" w:rsidRPr="009F6DF8" w:rsidRDefault="009F6DF8">
      <w:pPr>
        <w:rPr>
          <w:rFonts w:asciiTheme="majorHAnsi" w:hAnsiTheme="majorHAnsi" w:cstheme="majorHAnsi"/>
        </w:rPr>
      </w:pPr>
      <w:r w:rsidRPr="009F6DF8">
        <w:rPr>
          <w:rFonts w:asciiTheme="majorHAnsi" w:hAnsiTheme="majorHAnsi" w:cstheme="majorHAnsi"/>
        </w:rPr>
        <w:t xml:space="preserve">Parish Council: Ingol </w:t>
      </w:r>
      <w:r>
        <w:rPr>
          <w:rFonts w:asciiTheme="majorHAnsi" w:hAnsiTheme="majorHAnsi" w:cstheme="majorHAnsi"/>
        </w:rPr>
        <w:t xml:space="preserve">and </w:t>
      </w:r>
      <w:proofErr w:type="spellStart"/>
      <w:r>
        <w:rPr>
          <w:rFonts w:asciiTheme="majorHAnsi" w:hAnsiTheme="majorHAnsi" w:cstheme="majorHAnsi"/>
        </w:rPr>
        <w:t>Tanterton</w:t>
      </w:r>
      <w:proofErr w:type="spellEnd"/>
      <w:r>
        <w:rPr>
          <w:rFonts w:asciiTheme="majorHAnsi" w:hAnsiTheme="majorHAnsi" w:cstheme="majorHAnsi"/>
        </w:rPr>
        <w:t xml:space="preserve"> </w:t>
      </w:r>
      <w:proofErr w:type="spellStart"/>
      <w:r>
        <w:rPr>
          <w:rFonts w:asciiTheme="majorHAnsi" w:hAnsiTheme="majorHAnsi" w:cstheme="majorHAnsi"/>
        </w:rPr>
        <w:t>Neighbourhood</w:t>
      </w:r>
      <w:proofErr w:type="spellEnd"/>
      <w:r>
        <w:rPr>
          <w:rFonts w:asciiTheme="majorHAnsi" w:hAnsiTheme="majorHAnsi" w:cstheme="majorHAnsi"/>
        </w:rPr>
        <w:t xml:space="preserve"> Council.</w:t>
      </w:r>
    </w:p>
    <w:p w14:paraId="20866E5C" w14:textId="77777777" w:rsidR="00732B01" w:rsidRPr="009F6DF8" w:rsidRDefault="009F6DF8">
      <w:pPr>
        <w:rPr>
          <w:rFonts w:asciiTheme="majorHAnsi" w:hAnsiTheme="majorHAnsi" w:cstheme="majorHAnsi"/>
        </w:rPr>
      </w:pPr>
      <w:r w:rsidRPr="009F6DF8">
        <w:rPr>
          <w:rFonts w:asciiTheme="majorHAnsi" w:hAnsiTheme="majorHAnsi" w:cstheme="majorHAnsi"/>
        </w:rPr>
        <w:t>Annual Precept: £116,280</w:t>
      </w:r>
    </w:p>
    <w:p w14:paraId="604476CB" w14:textId="77777777" w:rsidR="00732B01" w:rsidRPr="009F6DF8" w:rsidRDefault="009F6DF8">
      <w:pPr>
        <w:rPr>
          <w:rFonts w:asciiTheme="majorHAnsi" w:hAnsiTheme="majorHAnsi" w:cstheme="majorHAnsi"/>
        </w:rPr>
      </w:pPr>
      <w:r w:rsidRPr="009F6DF8">
        <w:rPr>
          <w:rFonts w:asciiTheme="majorHAnsi" w:hAnsiTheme="majorHAnsi" w:cstheme="majorHAnsi"/>
        </w:rPr>
        <w:t>Staff: 1 (Clerk/RFO)</w:t>
      </w:r>
    </w:p>
    <w:p w14:paraId="3D8E2C81" w14:textId="77777777" w:rsidR="00732B01" w:rsidRPr="009F6DF8" w:rsidRDefault="009F6DF8">
      <w:pPr>
        <w:rPr>
          <w:rFonts w:asciiTheme="majorHAnsi" w:hAnsiTheme="majorHAnsi" w:cstheme="majorHAnsi"/>
        </w:rPr>
      </w:pPr>
      <w:r w:rsidRPr="009F6DF8">
        <w:rPr>
          <w:rFonts w:asciiTheme="majorHAnsi" w:hAnsiTheme="majorHAnsi" w:cstheme="majorHAnsi"/>
        </w:rPr>
        <w:t>Key Assets: Playgrounds, Noticeboards, Defibrillator, Benches, Planters</w:t>
      </w:r>
    </w:p>
    <w:p w14:paraId="124E13C7" w14:textId="77777777" w:rsidR="00732B01" w:rsidRPr="009F6DF8" w:rsidRDefault="009F6DF8">
      <w:pPr>
        <w:rPr>
          <w:rFonts w:asciiTheme="majorHAnsi" w:hAnsiTheme="majorHAnsi" w:cstheme="majorHAnsi"/>
        </w:rPr>
      </w:pPr>
      <w:r w:rsidRPr="009F6DF8">
        <w:rPr>
          <w:rFonts w:asciiTheme="majorHAnsi" w:hAnsiTheme="majorHAnsi" w:cstheme="majorHAnsi"/>
        </w:rPr>
        <w:t>Assessment Date: 11 June 2025</w:t>
      </w:r>
    </w:p>
    <w:p w14:paraId="585974A3" w14:textId="77777777" w:rsidR="00732B01" w:rsidRPr="009F6DF8" w:rsidRDefault="009F6DF8">
      <w:pPr>
        <w:pStyle w:val="Heading1"/>
        <w:rPr>
          <w:rFonts w:cstheme="majorHAnsi"/>
        </w:rPr>
      </w:pPr>
      <w:r w:rsidRPr="009F6DF8">
        <w:rPr>
          <w:rFonts w:cstheme="majorHAnsi"/>
        </w:rPr>
        <w:t>1. Summary</w:t>
      </w:r>
    </w:p>
    <w:p w14:paraId="7ADC65A8" w14:textId="77777777" w:rsidR="00732B01" w:rsidRPr="009F6DF8" w:rsidRDefault="009F6DF8">
      <w:pPr>
        <w:rPr>
          <w:rFonts w:asciiTheme="majorHAnsi" w:hAnsiTheme="majorHAnsi" w:cstheme="majorHAnsi"/>
        </w:rPr>
      </w:pPr>
      <w:r w:rsidRPr="009F6DF8">
        <w:rPr>
          <w:rFonts w:asciiTheme="majorHAnsi" w:hAnsiTheme="majorHAnsi" w:cstheme="majorHAnsi"/>
        </w:rPr>
        <w:t xml:space="preserve">This Financial Risk </w:t>
      </w:r>
      <w:r w:rsidRPr="009F6DF8">
        <w:rPr>
          <w:rFonts w:asciiTheme="majorHAnsi" w:hAnsiTheme="majorHAnsi" w:cstheme="majorHAnsi"/>
        </w:rPr>
        <w:t>Assessment provides an overview of key financial risks facing Ingol Parish Council, with an emphasis on governance, asset protection, budgeting, and regulatory compliance.</w:t>
      </w:r>
    </w:p>
    <w:p w14:paraId="7434D311" w14:textId="77777777" w:rsidR="00732B01" w:rsidRPr="009F6DF8" w:rsidRDefault="009F6DF8">
      <w:pPr>
        <w:pStyle w:val="Heading1"/>
        <w:rPr>
          <w:rFonts w:cstheme="majorHAnsi"/>
        </w:rPr>
      </w:pPr>
      <w:r w:rsidRPr="009F6DF8">
        <w:rPr>
          <w:rFonts w:cstheme="majorHAnsi"/>
        </w:rPr>
        <w:t>2. Financial Risk Register</w:t>
      </w:r>
    </w:p>
    <w:p w14:paraId="299228E4" w14:textId="77777777" w:rsidR="00732B01" w:rsidRPr="009F6DF8" w:rsidRDefault="009F6DF8">
      <w:pPr>
        <w:rPr>
          <w:rFonts w:asciiTheme="majorHAnsi" w:hAnsiTheme="majorHAnsi" w:cstheme="majorHAnsi"/>
        </w:rPr>
      </w:pPr>
      <w:r w:rsidRPr="009F6DF8">
        <w:rPr>
          <w:rFonts w:asciiTheme="majorHAnsi" w:hAnsiTheme="majorHAnsi" w:cstheme="majorHAnsi"/>
        </w:rPr>
        <w:t>Refer to the separate Financial Risk Register table for detailed information on risks, controls, and actions.</w:t>
      </w:r>
    </w:p>
    <w:p w14:paraId="67377417" w14:textId="77777777" w:rsidR="00732B01" w:rsidRPr="009F6DF8" w:rsidRDefault="009F6DF8">
      <w:pPr>
        <w:pStyle w:val="Heading1"/>
        <w:rPr>
          <w:rFonts w:cstheme="majorHAnsi"/>
        </w:rPr>
      </w:pPr>
      <w:r w:rsidRPr="009F6DF8">
        <w:rPr>
          <w:rFonts w:cstheme="majorHAnsi"/>
        </w:rPr>
        <w:t>3. Review &amp; Monitoring</w:t>
      </w:r>
    </w:p>
    <w:p w14:paraId="556D7836" w14:textId="77777777" w:rsidR="00732B01" w:rsidRPr="009F6DF8" w:rsidRDefault="009F6DF8">
      <w:pPr>
        <w:rPr>
          <w:rFonts w:asciiTheme="majorHAnsi" w:hAnsiTheme="majorHAnsi" w:cstheme="majorHAnsi"/>
        </w:rPr>
      </w:pPr>
      <w:r w:rsidRPr="009F6DF8">
        <w:rPr>
          <w:rFonts w:asciiTheme="majorHAnsi" w:hAnsiTheme="majorHAnsi" w:cstheme="majorHAnsi"/>
        </w:rPr>
        <w:t>The Council commits to an annual review of financial risks, or more frequently if needed. Quarterly monitoring of budgets, an annual internal audit, and timely completion of AGAR ensure ongoing compliance.</w:t>
      </w:r>
    </w:p>
    <w:p w14:paraId="63A991FF" w14:textId="77777777" w:rsidR="00732B01" w:rsidRPr="009F6DF8" w:rsidRDefault="009F6DF8">
      <w:pPr>
        <w:pStyle w:val="Heading1"/>
        <w:rPr>
          <w:rFonts w:cstheme="majorHAnsi"/>
        </w:rPr>
      </w:pPr>
      <w:r w:rsidRPr="009F6DF8">
        <w:rPr>
          <w:rFonts w:cstheme="majorHAnsi"/>
        </w:rPr>
        <w:t>4. Supporting Documents</w:t>
      </w:r>
    </w:p>
    <w:p w14:paraId="7B52D06E" w14:textId="77777777" w:rsidR="00732B01" w:rsidRPr="009F6DF8" w:rsidRDefault="009F6DF8">
      <w:pPr>
        <w:rPr>
          <w:rFonts w:asciiTheme="majorHAnsi" w:hAnsiTheme="majorHAnsi" w:cstheme="majorHAnsi"/>
        </w:rPr>
      </w:pPr>
      <w:r w:rsidRPr="009F6DF8">
        <w:rPr>
          <w:rFonts w:asciiTheme="majorHAnsi" w:hAnsiTheme="majorHAnsi" w:cstheme="majorHAnsi"/>
        </w:rPr>
        <w:t>• Budget &amp; Precept Papers</w:t>
      </w:r>
      <w:r w:rsidRPr="009F6DF8">
        <w:rPr>
          <w:rFonts w:asciiTheme="majorHAnsi" w:hAnsiTheme="majorHAnsi" w:cstheme="majorHAnsi"/>
        </w:rPr>
        <w:br/>
        <w:t>• Asset Register</w:t>
      </w:r>
      <w:r w:rsidRPr="009F6DF8">
        <w:rPr>
          <w:rFonts w:asciiTheme="majorHAnsi" w:hAnsiTheme="majorHAnsi" w:cstheme="majorHAnsi"/>
        </w:rPr>
        <w:br/>
        <w:t>• Insurance Policies</w:t>
      </w:r>
      <w:r w:rsidRPr="009F6DF8">
        <w:rPr>
          <w:rFonts w:asciiTheme="majorHAnsi" w:hAnsiTheme="majorHAnsi" w:cstheme="majorHAnsi"/>
        </w:rPr>
        <w:br/>
        <w:t>• Internal Audit Report</w:t>
      </w:r>
      <w:r w:rsidRPr="009F6DF8">
        <w:rPr>
          <w:rFonts w:asciiTheme="majorHAnsi" w:hAnsiTheme="majorHAnsi" w:cstheme="majorHAnsi"/>
        </w:rPr>
        <w:br/>
        <w:t>• Bank Reconciliations</w:t>
      </w:r>
      <w:r w:rsidRPr="009F6DF8">
        <w:rPr>
          <w:rFonts w:asciiTheme="majorHAnsi" w:hAnsiTheme="majorHAnsi" w:cstheme="majorHAnsi"/>
        </w:rPr>
        <w:br/>
        <w:t>• Standing Orders &amp; Financial Regulations</w:t>
      </w:r>
      <w:r w:rsidRPr="009F6DF8">
        <w:rPr>
          <w:rFonts w:asciiTheme="majorHAnsi" w:hAnsiTheme="majorHAnsi" w:cstheme="majorHAnsi"/>
        </w:rPr>
        <w:br/>
        <w:t>• Risk Register Document</w:t>
      </w:r>
    </w:p>
    <w:sectPr w:rsidR="00732B01" w:rsidRPr="009F6D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1401232">
    <w:abstractNumId w:val="8"/>
  </w:num>
  <w:num w:numId="2" w16cid:durableId="340084834">
    <w:abstractNumId w:val="6"/>
  </w:num>
  <w:num w:numId="3" w16cid:durableId="461115504">
    <w:abstractNumId w:val="5"/>
  </w:num>
  <w:num w:numId="4" w16cid:durableId="1292981165">
    <w:abstractNumId w:val="4"/>
  </w:num>
  <w:num w:numId="5" w16cid:durableId="1861895996">
    <w:abstractNumId w:val="7"/>
  </w:num>
  <w:num w:numId="6" w16cid:durableId="1739668359">
    <w:abstractNumId w:val="3"/>
  </w:num>
  <w:num w:numId="7" w16cid:durableId="247619710">
    <w:abstractNumId w:val="2"/>
  </w:num>
  <w:num w:numId="8" w16cid:durableId="316030579">
    <w:abstractNumId w:val="1"/>
  </w:num>
  <w:num w:numId="9" w16cid:durableId="77582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32B01"/>
    <w:rsid w:val="009F6DF8"/>
    <w:rsid w:val="00AA1D8D"/>
    <w:rsid w:val="00B47730"/>
    <w:rsid w:val="00CB0664"/>
    <w:rsid w:val="00EA6A1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E6228"/>
  <w14:defaultImageDpi w14:val="300"/>
  <w15:docId w15:val="{20B40009-30DA-4838-8045-DED213C6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Olivia Mason</cp:lastModifiedBy>
  <cp:revision>2</cp:revision>
  <dcterms:created xsi:type="dcterms:W3CDTF">2025-06-12T07:43:00Z</dcterms:created>
  <dcterms:modified xsi:type="dcterms:W3CDTF">2025-06-12T07:43:00Z</dcterms:modified>
  <cp:category/>
</cp:coreProperties>
</file>